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871B66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r w:rsidR="00091557" w:rsidRPr="00CE0424">
        <w:rPr>
          <w:sz w:val="32"/>
          <w:szCs w:val="32"/>
        </w:rPr>
        <w:t>R2-</w:t>
      </w:r>
      <w:r w:rsidR="00F20F5C">
        <w:rPr>
          <w:sz w:val="32"/>
          <w:szCs w:val="32"/>
        </w:rPr>
        <w:t>2</w:t>
      </w:r>
      <w:r w:rsidR="00DF66E1">
        <w:rPr>
          <w:sz w:val="32"/>
          <w:szCs w:val="32"/>
        </w:rPr>
        <w:t>2</w:t>
      </w:r>
      <w:r w:rsidR="00761D43" w:rsidRPr="00761D43">
        <w:rPr>
          <w:sz w:val="32"/>
          <w:szCs w:val="32"/>
        </w:rPr>
        <w:t>08198</w:t>
      </w:r>
    </w:p>
    <w:p w14:paraId="0DEF01D1" w14:textId="133A4BEA" w:rsidR="00E90E49" w:rsidRPr="00CE0424" w:rsidRDefault="00C268E6" w:rsidP="00311702">
      <w:pPr>
        <w:pStyle w:val="3GPPHeader"/>
      </w:pPr>
      <w:r>
        <w:t xml:space="preserve">Electronic meeting, </w:t>
      </w:r>
      <w:r w:rsidR="00DF66E1">
        <w:t>17</w:t>
      </w:r>
      <w:r w:rsidR="00787D0B">
        <w:t xml:space="preserve"> – 2</w:t>
      </w:r>
      <w:r w:rsidR="0088566A">
        <w:t>9</w:t>
      </w:r>
      <w:r w:rsidR="00787D0B">
        <w:t xml:space="preserve"> August 2022</w:t>
      </w:r>
    </w:p>
    <w:p w14:paraId="252563D4" w14:textId="77777777" w:rsidR="00E90E49" w:rsidRPr="00CE0424" w:rsidRDefault="00E90E49" w:rsidP="00357380">
      <w:pPr>
        <w:pStyle w:val="3GPPHeader"/>
      </w:pPr>
    </w:p>
    <w:p w14:paraId="267378A2" w14:textId="2CD0B17C" w:rsidR="00E90E49" w:rsidRPr="00886AA5" w:rsidRDefault="00E90E49" w:rsidP="00311702">
      <w:pPr>
        <w:pStyle w:val="3GPPHeader"/>
        <w:rPr>
          <w:sz w:val="22"/>
          <w:szCs w:val="22"/>
        </w:rPr>
      </w:pPr>
      <w:r w:rsidRPr="00886AA5">
        <w:rPr>
          <w:sz w:val="22"/>
          <w:szCs w:val="22"/>
        </w:rPr>
        <w:t>Agenda Item:</w:t>
      </w:r>
      <w:r w:rsidRPr="00886AA5">
        <w:rPr>
          <w:sz w:val="22"/>
          <w:szCs w:val="22"/>
        </w:rPr>
        <w:tab/>
      </w:r>
      <w:r w:rsidR="00886AA5">
        <w:rPr>
          <w:sz w:val="22"/>
          <w:szCs w:val="22"/>
        </w:rPr>
        <w:t>8.1.2</w:t>
      </w:r>
    </w:p>
    <w:p w14:paraId="36E7B6AB" w14:textId="77777777" w:rsidR="00E90E49" w:rsidRPr="00886AA5" w:rsidRDefault="003D3C45" w:rsidP="00F64C2B">
      <w:pPr>
        <w:pStyle w:val="3GPPHeader"/>
        <w:rPr>
          <w:sz w:val="22"/>
          <w:szCs w:val="22"/>
        </w:rPr>
      </w:pPr>
      <w:r w:rsidRPr="00886AA5">
        <w:rPr>
          <w:sz w:val="22"/>
          <w:szCs w:val="22"/>
        </w:rPr>
        <w:t>Source:</w:t>
      </w:r>
      <w:r w:rsidR="00E90E49" w:rsidRPr="00886AA5">
        <w:rPr>
          <w:sz w:val="22"/>
          <w:szCs w:val="22"/>
        </w:rPr>
        <w:tab/>
      </w:r>
      <w:r w:rsidR="00F64C2B" w:rsidRPr="00886AA5">
        <w:rPr>
          <w:sz w:val="22"/>
          <w:szCs w:val="22"/>
        </w:rPr>
        <w:t>Ericsson</w:t>
      </w:r>
    </w:p>
    <w:p w14:paraId="72579376" w14:textId="645BD74F" w:rsidR="00E90E49" w:rsidRPr="00886AA5" w:rsidRDefault="003D3C45" w:rsidP="00311702">
      <w:pPr>
        <w:pStyle w:val="3GPPHeader"/>
        <w:rPr>
          <w:sz w:val="22"/>
          <w:szCs w:val="22"/>
        </w:rPr>
      </w:pPr>
      <w:r w:rsidRPr="00886AA5">
        <w:rPr>
          <w:sz w:val="22"/>
          <w:szCs w:val="22"/>
        </w:rPr>
        <w:t>Title:</w:t>
      </w:r>
      <w:r w:rsidR="00E90E49" w:rsidRPr="00886AA5">
        <w:rPr>
          <w:sz w:val="22"/>
          <w:szCs w:val="22"/>
        </w:rPr>
        <w:tab/>
      </w:r>
      <w:r w:rsidR="005F676B">
        <w:rPr>
          <w:sz w:val="22"/>
          <w:szCs w:val="22"/>
        </w:rPr>
        <w:t>Discussion on RAN2 topics</w:t>
      </w:r>
      <w:r w:rsidR="005F676B" w:rsidRPr="00886AA5">
        <w:rPr>
          <w:sz w:val="22"/>
          <w:szCs w:val="22"/>
        </w:rPr>
        <w:t xml:space="preserve"> </w:t>
      </w:r>
      <w:r w:rsidR="005F676B">
        <w:rPr>
          <w:sz w:val="22"/>
          <w:szCs w:val="22"/>
        </w:rPr>
        <w:t xml:space="preserve">for </w:t>
      </w:r>
      <w:r w:rsidR="00886AA5" w:rsidRPr="00886AA5">
        <w:rPr>
          <w:sz w:val="22"/>
          <w:szCs w:val="22"/>
        </w:rPr>
        <w:t>NCR</w:t>
      </w:r>
    </w:p>
    <w:p w14:paraId="1DD4A9BC" w14:textId="2CAB7E0F" w:rsidR="00E90E49" w:rsidRPr="00886AA5" w:rsidRDefault="00E90E49" w:rsidP="00886AA5">
      <w:pPr>
        <w:pStyle w:val="3GPPHeader"/>
        <w:rPr>
          <w:sz w:val="22"/>
          <w:szCs w:val="22"/>
        </w:rPr>
      </w:pPr>
      <w:r w:rsidRPr="00886AA5">
        <w:rPr>
          <w:sz w:val="22"/>
          <w:szCs w:val="22"/>
        </w:rPr>
        <w:t>Document for:</w:t>
      </w:r>
      <w:r w:rsidRPr="00886AA5">
        <w:rPr>
          <w:sz w:val="22"/>
          <w:szCs w:val="22"/>
        </w:rPr>
        <w:tab/>
        <w:t>Discussion, Decision</w:t>
      </w:r>
    </w:p>
    <w:p w14:paraId="028056FC" w14:textId="77777777" w:rsidR="00E90E49" w:rsidRPr="00CE0424" w:rsidRDefault="00230D18" w:rsidP="00CE0424">
      <w:pPr>
        <w:pStyle w:val="Heading1"/>
      </w:pPr>
      <w:r>
        <w:t>1</w:t>
      </w:r>
      <w:r>
        <w:tab/>
      </w:r>
      <w:r w:rsidR="00E90E49" w:rsidRPr="00CE0424">
        <w:t>Introduction</w:t>
      </w:r>
    </w:p>
    <w:p w14:paraId="71C2D233" w14:textId="77777777" w:rsidR="00886AA5" w:rsidRDefault="00886AA5" w:rsidP="00886AA5">
      <w:pPr>
        <w:pStyle w:val="BodyText"/>
      </w:pPr>
      <w:r>
        <w:t>The SI on Network-Controlled Repeaters (NCRs) has the following objectives for RAN2:</w:t>
      </w:r>
    </w:p>
    <w:p w14:paraId="3137712D" w14:textId="77777777" w:rsidR="00886AA5" w:rsidRDefault="00886AA5" w:rsidP="00886AA5">
      <w:pPr>
        <w:ind w:left="360"/>
      </w:pPr>
      <w:bookmarkStart w:id="0" w:name="_Ref178064866"/>
      <w:r>
        <w:t>Study the following aspects of network-controlled repeater management</w:t>
      </w:r>
    </w:p>
    <w:p w14:paraId="36FD8771" w14:textId="77777777" w:rsidR="00886AA5" w:rsidRDefault="00886AA5" w:rsidP="00886AA5">
      <w:pPr>
        <w:numPr>
          <w:ilvl w:val="0"/>
          <w:numId w:val="23"/>
        </w:numPr>
        <w:overflowPunct/>
        <w:autoSpaceDE/>
        <w:autoSpaceDN/>
        <w:adjustRightInd/>
        <w:spacing w:after="120"/>
        <w:ind w:left="1080"/>
        <w:textAlignment w:val="auto"/>
      </w:pPr>
      <w:r>
        <w:t>Identification and authorization of network-controlled repeaters [RAN2, RAN3]</w:t>
      </w:r>
    </w:p>
    <w:p w14:paraId="3741C774" w14:textId="77777777" w:rsidR="00886AA5" w:rsidRDefault="00886AA5" w:rsidP="00886AA5">
      <w:pPr>
        <w:ind w:left="360" w:firstLine="360"/>
      </w:pPr>
      <w:r>
        <w:t xml:space="preserve">NOTE2: Coordination with SA3 may be needed. </w:t>
      </w:r>
      <w:r>
        <w:fldChar w:fldCharType="begin"/>
      </w:r>
      <w:r>
        <w:instrText xml:space="preserve"> REF _Ref390333486 \r \h </w:instrText>
      </w:r>
      <w:r>
        <w:fldChar w:fldCharType="separate"/>
      </w:r>
      <w:r>
        <w:t>[1]</w:t>
      </w:r>
      <w:r>
        <w:fldChar w:fldCharType="end"/>
      </w:r>
    </w:p>
    <w:p w14:paraId="3B6C629C" w14:textId="4AEBCB52" w:rsidR="00B409E0" w:rsidRDefault="00230D18" w:rsidP="00886AA5">
      <w:pPr>
        <w:pStyle w:val="Heading1"/>
      </w:pPr>
      <w:r>
        <w:t>2</w:t>
      </w:r>
      <w:r>
        <w:tab/>
      </w:r>
      <w:r w:rsidR="004000E8" w:rsidRPr="00CE0424">
        <w:t>Discussion</w:t>
      </w:r>
      <w:bookmarkEnd w:id="0"/>
    </w:p>
    <w:p w14:paraId="7F5FED9C" w14:textId="1FEA5F57" w:rsidR="00886AA5" w:rsidRPr="00FE4F7E" w:rsidRDefault="00886AA5" w:rsidP="00886AA5">
      <w:pPr>
        <w:pStyle w:val="Heading2"/>
      </w:pPr>
      <w:r>
        <w:t>2.1</w:t>
      </w:r>
      <w:r>
        <w:tab/>
        <w:t>General</w:t>
      </w:r>
      <w:r w:rsidR="0069237B">
        <w:t xml:space="preserve"> a</w:t>
      </w:r>
      <w:r>
        <w:t>rchitecture</w:t>
      </w:r>
    </w:p>
    <w:p w14:paraId="1E2B69C4" w14:textId="6A6D65B7" w:rsidR="00886AA5" w:rsidRPr="00886AA5" w:rsidRDefault="0069237B" w:rsidP="00886AA5">
      <w:pPr>
        <w:rPr>
          <w:rFonts w:ascii="Arial" w:hAnsi="Arial"/>
          <w:lang w:eastAsia="zh-CN"/>
        </w:rPr>
      </w:pPr>
      <w:r>
        <w:rPr>
          <w:rFonts w:ascii="Arial" w:hAnsi="Arial"/>
          <w:lang w:eastAsia="zh-CN"/>
        </w:rPr>
        <w:t xml:space="preserve">The </w:t>
      </w:r>
      <w:r w:rsidR="00886AA5" w:rsidRPr="00886AA5">
        <w:rPr>
          <w:rFonts w:ascii="Arial" w:hAnsi="Arial"/>
          <w:lang w:eastAsia="zh-CN"/>
        </w:rPr>
        <w:fldChar w:fldCharType="begin"/>
      </w:r>
      <w:r w:rsidR="00886AA5" w:rsidRPr="00886AA5">
        <w:rPr>
          <w:rFonts w:ascii="Arial" w:hAnsi="Arial"/>
          <w:lang w:eastAsia="zh-CN"/>
        </w:rPr>
        <w:instrText xml:space="preserve"> REF _Ref110328546 \h </w:instrText>
      </w:r>
      <w:r w:rsidR="00886AA5">
        <w:rPr>
          <w:rFonts w:ascii="Arial" w:hAnsi="Arial"/>
          <w:lang w:eastAsia="zh-CN"/>
        </w:rPr>
        <w:instrText xml:space="preserve"> \* MERGEFORMAT </w:instrText>
      </w:r>
      <w:r w:rsidR="00886AA5" w:rsidRPr="00886AA5">
        <w:rPr>
          <w:rFonts w:ascii="Arial" w:hAnsi="Arial"/>
          <w:lang w:eastAsia="zh-CN"/>
        </w:rPr>
      </w:r>
      <w:r w:rsidR="00886AA5" w:rsidRPr="00886AA5">
        <w:rPr>
          <w:rFonts w:ascii="Arial" w:hAnsi="Arial"/>
          <w:lang w:eastAsia="zh-CN"/>
        </w:rPr>
        <w:fldChar w:fldCharType="separate"/>
      </w:r>
      <w:r w:rsidR="00886AA5" w:rsidRPr="00886AA5">
        <w:rPr>
          <w:rFonts w:ascii="Arial" w:hAnsi="Arial"/>
          <w:lang w:eastAsia="zh-CN"/>
        </w:rPr>
        <w:t>Figure 1</w:t>
      </w:r>
      <w:r w:rsidR="00886AA5" w:rsidRPr="00886AA5">
        <w:rPr>
          <w:rFonts w:ascii="Arial" w:hAnsi="Arial"/>
          <w:lang w:eastAsia="zh-CN"/>
        </w:rPr>
        <w:fldChar w:fldCharType="end"/>
      </w:r>
      <w:r w:rsidR="00886AA5" w:rsidRPr="00886AA5">
        <w:rPr>
          <w:rFonts w:ascii="Arial" w:hAnsi="Arial"/>
          <w:lang w:eastAsia="zh-CN"/>
        </w:rPr>
        <w:t xml:space="preserve"> below shows an overview of an NCR. An NCR is envisaged as a tool to enhance RAN coverage. It is less complex than an IAB node but more capable than an RF repeater: it receives and processes side control information from the network for “mitigation of unnecessary noise amplification, transmissions and receptions with better spatial directivity, and simplified network integration” </w:t>
      </w:r>
      <w:r w:rsidR="00886AA5" w:rsidRPr="00886AA5">
        <w:rPr>
          <w:rFonts w:ascii="Arial" w:hAnsi="Arial"/>
          <w:lang w:eastAsia="zh-CN"/>
        </w:rPr>
        <w:fldChar w:fldCharType="begin"/>
      </w:r>
      <w:r w:rsidR="00886AA5" w:rsidRPr="00886AA5">
        <w:rPr>
          <w:rFonts w:ascii="Arial" w:hAnsi="Arial"/>
          <w:lang w:eastAsia="zh-CN"/>
        </w:rPr>
        <w:instrText xml:space="preserve"> REF _Ref390333486 \r \h </w:instrText>
      </w:r>
      <w:r w:rsidR="00886AA5">
        <w:rPr>
          <w:rFonts w:ascii="Arial" w:hAnsi="Arial"/>
          <w:lang w:eastAsia="zh-CN"/>
        </w:rPr>
        <w:instrText xml:space="preserve"> \* MERGEFORMAT </w:instrText>
      </w:r>
      <w:r w:rsidR="00886AA5" w:rsidRPr="00886AA5">
        <w:rPr>
          <w:rFonts w:ascii="Arial" w:hAnsi="Arial"/>
          <w:lang w:eastAsia="zh-CN"/>
        </w:rPr>
      </w:r>
      <w:r w:rsidR="00886AA5" w:rsidRPr="00886AA5">
        <w:rPr>
          <w:rFonts w:ascii="Arial" w:hAnsi="Arial"/>
          <w:lang w:eastAsia="zh-CN"/>
        </w:rPr>
        <w:fldChar w:fldCharType="separate"/>
      </w:r>
      <w:r w:rsidR="00886AA5" w:rsidRPr="00886AA5">
        <w:rPr>
          <w:rFonts w:ascii="Arial" w:hAnsi="Arial"/>
          <w:lang w:eastAsia="zh-CN"/>
        </w:rPr>
        <w:t>[1]</w:t>
      </w:r>
      <w:r w:rsidR="00886AA5" w:rsidRPr="00886AA5">
        <w:rPr>
          <w:rFonts w:ascii="Arial" w:hAnsi="Arial"/>
          <w:lang w:eastAsia="zh-CN"/>
        </w:rPr>
        <w:fldChar w:fldCharType="end"/>
      </w:r>
      <w:r>
        <w:rPr>
          <w:rFonts w:ascii="Arial" w:hAnsi="Arial"/>
          <w:lang w:eastAsia="zh-CN"/>
        </w:rPr>
        <w:t>.</w:t>
      </w:r>
      <w:r w:rsidR="00886AA5" w:rsidRPr="00886AA5">
        <w:rPr>
          <w:rFonts w:ascii="Arial" w:hAnsi="Arial"/>
          <w:lang w:eastAsia="zh-CN"/>
        </w:rPr>
        <w:t xml:space="preserve"> An NCR includes an MT part which connects to the gNB and terminates RRC (</w:t>
      </w:r>
      <w:r>
        <w:rPr>
          <w:rFonts w:ascii="Arial" w:hAnsi="Arial"/>
          <w:lang w:eastAsia="zh-CN"/>
        </w:rPr>
        <w:t xml:space="preserve">i.e., the </w:t>
      </w:r>
      <w:r w:rsidR="00886AA5" w:rsidRPr="00886AA5">
        <w:rPr>
          <w:rFonts w:ascii="Arial" w:hAnsi="Arial"/>
          <w:lang w:eastAsia="zh-CN"/>
        </w:rPr>
        <w:t>NCR-MT) and a forwarding part (</w:t>
      </w:r>
      <w:r>
        <w:rPr>
          <w:rFonts w:ascii="Arial" w:hAnsi="Arial"/>
          <w:lang w:eastAsia="zh-CN"/>
        </w:rPr>
        <w:t xml:space="preserve">i.e., the </w:t>
      </w:r>
      <w:r w:rsidR="00886AA5" w:rsidRPr="00886AA5">
        <w:rPr>
          <w:rFonts w:ascii="Arial" w:hAnsi="Arial"/>
          <w:lang w:eastAsia="zh-CN"/>
        </w:rPr>
        <w:t>NCR-</w:t>
      </w:r>
      <w:proofErr w:type="spellStart"/>
      <w:r w:rsidR="00886AA5" w:rsidRPr="00886AA5">
        <w:rPr>
          <w:rFonts w:ascii="Arial" w:hAnsi="Arial"/>
          <w:lang w:eastAsia="zh-CN"/>
        </w:rPr>
        <w:t>Fwd</w:t>
      </w:r>
      <w:proofErr w:type="spellEnd"/>
      <w:r w:rsidR="00886AA5" w:rsidRPr="00886AA5">
        <w:rPr>
          <w:rFonts w:ascii="Arial" w:hAnsi="Arial"/>
          <w:lang w:eastAsia="zh-CN"/>
        </w:rPr>
        <w:t>) which links the backhaul with the access. An NCR is transparent to the UE.</w:t>
      </w:r>
    </w:p>
    <w:p w14:paraId="028553DB" w14:textId="73E4B836" w:rsidR="00886AA5" w:rsidRDefault="00886AA5" w:rsidP="00886AA5">
      <w:pPr>
        <w:jc w:val="center"/>
        <w:rPr>
          <w:b/>
          <w:noProof/>
        </w:rPr>
      </w:pPr>
      <w:r w:rsidRPr="00BA0DC1">
        <w:rPr>
          <w:b/>
          <w:noProof/>
        </w:rPr>
        <w:drawing>
          <wp:inline distT="0" distB="0" distL="0" distR="0" wp14:anchorId="26EBCD9F" wp14:editId="591774B2">
            <wp:extent cx="5705475" cy="14192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5475" cy="1419225"/>
                    </a:xfrm>
                    <a:prstGeom prst="rect">
                      <a:avLst/>
                    </a:prstGeom>
                    <a:noFill/>
                    <a:ln>
                      <a:noFill/>
                    </a:ln>
                  </pic:spPr>
                </pic:pic>
              </a:graphicData>
            </a:graphic>
          </wp:inline>
        </w:drawing>
      </w:r>
    </w:p>
    <w:p w14:paraId="12C64163" w14:textId="77777777" w:rsidR="00886AA5" w:rsidRDefault="00886AA5" w:rsidP="00886AA5">
      <w:pPr>
        <w:pStyle w:val="Caption"/>
        <w:jc w:val="center"/>
      </w:pPr>
      <w:bookmarkStart w:id="1" w:name="_Ref110328546"/>
      <w:r>
        <w:t xml:space="preserve">Figure </w:t>
      </w:r>
      <w:r w:rsidR="00E61F2E">
        <w:fldChar w:fldCharType="begin"/>
      </w:r>
      <w:r w:rsidR="00E61F2E">
        <w:instrText xml:space="preserve"> SEQ Figure \* ARABIC </w:instrText>
      </w:r>
      <w:r w:rsidR="00E61F2E">
        <w:fldChar w:fldCharType="separate"/>
      </w:r>
      <w:r>
        <w:rPr>
          <w:noProof/>
        </w:rPr>
        <w:t>1</w:t>
      </w:r>
      <w:r w:rsidR="00E61F2E">
        <w:rPr>
          <w:noProof/>
        </w:rPr>
        <w:fldChar w:fldCharType="end"/>
      </w:r>
      <w:bookmarkEnd w:id="1"/>
      <w:r>
        <w:t xml:space="preserve"> Overview of an NCR.</w:t>
      </w:r>
    </w:p>
    <w:p w14:paraId="52E3DCA2" w14:textId="24E3D050" w:rsidR="00886AA5" w:rsidRPr="00A7230C" w:rsidRDefault="00886AA5" w:rsidP="00886AA5">
      <w:pPr>
        <w:rPr>
          <w:rFonts w:ascii="Arial" w:hAnsi="Arial"/>
          <w:lang w:eastAsia="zh-CN"/>
        </w:rPr>
      </w:pPr>
      <w:r w:rsidRPr="00886AA5">
        <w:rPr>
          <w:rFonts w:ascii="Arial" w:hAnsi="Arial"/>
          <w:lang w:eastAsia="zh-CN"/>
        </w:rPr>
        <w:t xml:space="preserve">An NCR needs to be sent the appropriate side control information by the </w:t>
      </w:r>
      <w:proofErr w:type="spellStart"/>
      <w:r w:rsidRPr="00886AA5">
        <w:rPr>
          <w:rFonts w:ascii="Arial" w:hAnsi="Arial"/>
          <w:lang w:eastAsia="zh-CN"/>
        </w:rPr>
        <w:t>gNB</w:t>
      </w:r>
      <w:proofErr w:type="spellEnd"/>
      <w:r w:rsidRPr="00886AA5">
        <w:rPr>
          <w:rFonts w:ascii="Arial" w:hAnsi="Arial"/>
          <w:lang w:eastAsia="zh-CN"/>
        </w:rPr>
        <w:t xml:space="preserve"> (e.g.</w:t>
      </w:r>
      <w:r w:rsidR="0069237B">
        <w:rPr>
          <w:rFonts w:ascii="Arial" w:hAnsi="Arial"/>
          <w:lang w:eastAsia="zh-CN"/>
        </w:rPr>
        <w:t>,</w:t>
      </w:r>
      <w:r w:rsidRPr="00886AA5">
        <w:rPr>
          <w:rFonts w:ascii="Arial" w:hAnsi="Arial"/>
          <w:lang w:eastAsia="zh-CN"/>
        </w:rPr>
        <w:t xml:space="preserve"> beamforming, timing, TDD configuration, ON/OFF information, power control – pending RAN1 study). The gNB, then, needs to know that it is exchanging information with an NCR: in other words, the NCR needs to be identified as and authorized to operate as an NCR. This is </w:t>
      </w:r>
      <w:proofErr w:type="gramStart"/>
      <w:r w:rsidRPr="00886AA5">
        <w:rPr>
          <w:rFonts w:ascii="Arial" w:hAnsi="Arial"/>
          <w:lang w:eastAsia="zh-CN"/>
        </w:rPr>
        <w:t>similar to</w:t>
      </w:r>
      <w:proofErr w:type="gramEnd"/>
      <w:r w:rsidRPr="00886AA5">
        <w:rPr>
          <w:rFonts w:ascii="Arial" w:hAnsi="Arial"/>
          <w:lang w:eastAsia="zh-CN"/>
        </w:rPr>
        <w:t xml:space="preserve"> what happens for e.g.</w:t>
      </w:r>
      <w:r w:rsidR="0069237B">
        <w:rPr>
          <w:rFonts w:ascii="Arial" w:hAnsi="Arial"/>
          <w:lang w:eastAsia="zh-CN"/>
        </w:rPr>
        <w:t>,</w:t>
      </w:r>
      <w:r w:rsidRPr="00886AA5">
        <w:rPr>
          <w:rFonts w:ascii="Arial" w:hAnsi="Arial"/>
          <w:lang w:eastAsia="zh-CN"/>
        </w:rPr>
        <w:t xml:space="preserve"> an IAB node.</w:t>
      </w:r>
    </w:p>
    <w:p w14:paraId="4A1633AE" w14:textId="64E8EFDC" w:rsidR="00886AA5" w:rsidRDefault="00886AA5" w:rsidP="00886AA5">
      <w:pPr>
        <w:pStyle w:val="Heading2"/>
      </w:pPr>
      <w:r>
        <w:t>2.2</w:t>
      </w:r>
      <w:r>
        <w:tab/>
        <w:t>NCR Identification and Authorization</w:t>
      </w:r>
    </w:p>
    <w:p w14:paraId="50C9642A" w14:textId="05A068C5" w:rsidR="00886AA5" w:rsidRPr="00886AA5" w:rsidRDefault="00886AA5" w:rsidP="00886AA5">
      <w:pPr>
        <w:rPr>
          <w:rFonts w:ascii="Arial" w:hAnsi="Arial"/>
          <w:lang w:eastAsia="zh-CN"/>
        </w:rPr>
      </w:pPr>
      <w:r w:rsidRPr="00886AA5">
        <w:rPr>
          <w:rFonts w:ascii="Arial" w:hAnsi="Arial"/>
          <w:lang w:eastAsia="zh-CN"/>
        </w:rPr>
        <w:t xml:space="preserve">As previously mentioned, the NCR-MT obtains the necessary configuration for receiving the L1/L2 </w:t>
      </w:r>
      <w:proofErr w:type="spellStart"/>
      <w:r w:rsidRPr="00886AA5">
        <w:rPr>
          <w:rFonts w:ascii="Arial" w:hAnsi="Arial"/>
          <w:lang w:eastAsia="zh-CN"/>
        </w:rPr>
        <w:t>signaling</w:t>
      </w:r>
      <w:proofErr w:type="spellEnd"/>
      <w:r w:rsidRPr="00886AA5">
        <w:rPr>
          <w:rFonts w:ascii="Arial" w:hAnsi="Arial"/>
          <w:lang w:eastAsia="zh-CN"/>
        </w:rPr>
        <w:t xml:space="preserve"> of the side control information from the gNB. This may happen via RRC and/or via OAM (</w:t>
      </w:r>
      <w:r w:rsidR="0069237B">
        <w:rPr>
          <w:rFonts w:ascii="Arial" w:hAnsi="Arial"/>
          <w:lang w:eastAsia="zh-CN"/>
        </w:rPr>
        <w:t xml:space="preserve">according to a </w:t>
      </w:r>
      <w:r w:rsidRPr="00886AA5">
        <w:rPr>
          <w:rFonts w:ascii="Arial" w:hAnsi="Arial"/>
          <w:lang w:eastAsia="zh-CN"/>
        </w:rPr>
        <w:lastRenderedPageBreak/>
        <w:t>RAN1 agreement</w:t>
      </w:r>
      <w:r w:rsidRPr="0069237B">
        <w:rPr>
          <w:rFonts w:ascii="Arial" w:hAnsi="Arial"/>
          <w:b/>
          <w:vertAlign w:val="superscript"/>
          <w:lang w:eastAsia="zh-CN"/>
        </w:rPr>
        <w:footnoteReference w:id="1"/>
      </w:r>
      <w:r w:rsidRPr="00886AA5">
        <w:rPr>
          <w:rFonts w:ascii="Arial" w:hAnsi="Arial"/>
          <w:lang w:eastAsia="zh-CN"/>
        </w:rPr>
        <w:t>). In principle, if a pure OAM solution was envisaged, there would be no need to introduce any information over RRC nor to identify/authorize the NCR from the network. But for the gNB to send the appropriate information for the NCR over RRC, the gNB needs to know it is talking to an NCR-MT and not a regular UE. Hence the need for identification and authorization information.</w:t>
      </w:r>
    </w:p>
    <w:p w14:paraId="591483CF" w14:textId="3691D67F" w:rsidR="00886AA5" w:rsidRPr="00886AA5" w:rsidRDefault="00886AA5" w:rsidP="00886AA5">
      <w:pPr>
        <w:rPr>
          <w:rFonts w:ascii="Arial" w:hAnsi="Arial"/>
          <w:lang w:eastAsia="zh-CN"/>
        </w:rPr>
      </w:pPr>
      <w:r w:rsidRPr="00886AA5">
        <w:rPr>
          <w:rFonts w:ascii="Arial" w:hAnsi="Arial"/>
          <w:lang w:eastAsia="zh-CN"/>
        </w:rPr>
        <w:t>There are (RAN3) solutions for how to identify and authorize D2D, V2X, IAB-nodes, etc. These solutions rely on that the UE subscription information in the 5GC (which is a trusted source of information) is used to identify and authorize the UE as a D2D, V2X or an IAB-node. In detail, it works so that the AMF signals to the gNB over NGAP indications that these type</w:t>
      </w:r>
      <w:r w:rsidR="0069237B">
        <w:rPr>
          <w:rFonts w:ascii="Arial" w:hAnsi="Arial"/>
          <w:lang w:eastAsia="zh-CN"/>
        </w:rPr>
        <w:t>s</w:t>
      </w:r>
      <w:r w:rsidRPr="00886AA5">
        <w:rPr>
          <w:rFonts w:ascii="Arial" w:hAnsi="Arial"/>
          <w:lang w:eastAsia="zh-CN"/>
        </w:rPr>
        <w:t xml:space="preserve"> of “UEs” are authorized. It seems straightforward to rely on similar solutions to identify and authorize NCRs.</w:t>
      </w:r>
    </w:p>
    <w:p w14:paraId="03119344" w14:textId="18143D78" w:rsidR="00886AA5" w:rsidRDefault="00886AA5" w:rsidP="00886AA5">
      <w:pPr>
        <w:pStyle w:val="Proposal"/>
      </w:pPr>
      <w:bookmarkStart w:id="2" w:name="_Toc110983130"/>
      <w:r w:rsidRPr="00437475">
        <w:t xml:space="preserve">RAN2 assumes that </w:t>
      </w:r>
      <w:r w:rsidR="0069237B">
        <w:t xml:space="preserve">legacy </w:t>
      </w:r>
      <w:r w:rsidRPr="00437475">
        <w:t>RAN3 solutions will be used for identification and authorization for NCRs.</w:t>
      </w:r>
      <w:bookmarkEnd w:id="2"/>
    </w:p>
    <w:p w14:paraId="1378F6CA" w14:textId="2C674CD3" w:rsidR="00886AA5" w:rsidRDefault="00886AA5" w:rsidP="00886AA5">
      <w:pPr>
        <w:pStyle w:val="Heading2"/>
        <w:ind w:left="578" w:hanging="578"/>
      </w:pPr>
      <w:r>
        <w:t>2.3</w:t>
      </w:r>
      <w:r>
        <w:tab/>
        <w:t>Other considerations for NCRs</w:t>
      </w:r>
    </w:p>
    <w:p w14:paraId="7C4DC64C" w14:textId="3F60C3DB" w:rsidR="00886AA5" w:rsidRPr="00886AA5" w:rsidRDefault="00886AA5" w:rsidP="00886AA5">
      <w:pPr>
        <w:rPr>
          <w:rFonts w:ascii="Arial" w:hAnsi="Arial"/>
          <w:lang w:eastAsia="zh-CN"/>
        </w:rPr>
      </w:pPr>
      <w:r w:rsidRPr="00886AA5">
        <w:rPr>
          <w:rFonts w:ascii="Arial" w:hAnsi="Arial"/>
          <w:lang w:eastAsia="zh-CN"/>
        </w:rPr>
        <w:t>The NCR SID further has this objective:</w:t>
      </w:r>
    </w:p>
    <w:p w14:paraId="4EBD4E84" w14:textId="77777777" w:rsidR="00886AA5" w:rsidRPr="00661787" w:rsidRDefault="00886AA5" w:rsidP="00886AA5">
      <w:pPr>
        <w:spacing w:after="0"/>
        <w:ind w:left="720"/>
      </w:pPr>
      <w:r w:rsidRPr="00656598">
        <w:t xml:space="preserve">Study and identify </w:t>
      </w:r>
      <w:r>
        <w:t xml:space="preserve">L1/L2 </w:t>
      </w:r>
      <w:proofErr w:type="spellStart"/>
      <w:r w:rsidRPr="00656598">
        <w:t>signaling</w:t>
      </w:r>
      <w:proofErr w:type="spellEnd"/>
      <w:r>
        <w:t xml:space="preserve"> (including its configuration)</w:t>
      </w:r>
      <w:r w:rsidRPr="00656598">
        <w:t xml:space="preserve"> to carry the side control information [RAN1]</w:t>
      </w:r>
    </w:p>
    <w:p w14:paraId="07A84D0E" w14:textId="77777777" w:rsidR="00A7230C" w:rsidRDefault="00A7230C" w:rsidP="00A7230C">
      <w:pPr>
        <w:rPr>
          <w:rFonts w:ascii="Arial" w:hAnsi="Arial"/>
          <w:lang w:eastAsia="zh-CN"/>
        </w:rPr>
      </w:pPr>
    </w:p>
    <w:p w14:paraId="13F905DF" w14:textId="0272C2D0" w:rsidR="00886AA5" w:rsidRDefault="00886AA5" w:rsidP="00886AA5">
      <w:pPr>
        <w:rPr>
          <w:rFonts w:ascii="Arial" w:hAnsi="Arial"/>
          <w:lang w:eastAsia="zh-CN"/>
        </w:rPr>
      </w:pPr>
      <w:r w:rsidRPr="00886AA5">
        <w:rPr>
          <w:rFonts w:ascii="Arial" w:hAnsi="Arial"/>
          <w:lang w:eastAsia="zh-CN"/>
        </w:rPr>
        <w:t>According to the SID, this is a RAN1-only objective. But clearly it could have impact on RAN2 signalling. It can be foreseen that RAN1 will make agreements on what type of signalling can (“can” since this is so far only a study item</w:t>
      </w:r>
      <w:r>
        <w:rPr>
          <w:rFonts w:ascii="Arial" w:hAnsi="Arial"/>
          <w:lang w:eastAsia="zh-CN"/>
        </w:rPr>
        <w:t xml:space="preserve"> and hence only candidate solutions are to be identified</w:t>
      </w:r>
      <w:r w:rsidRPr="00886AA5">
        <w:rPr>
          <w:rFonts w:ascii="Arial" w:hAnsi="Arial"/>
          <w:lang w:eastAsia="zh-CN"/>
        </w:rPr>
        <w:t xml:space="preserve">) be used between the gNB and the NCR. However, considering the </w:t>
      </w:r>
      <w:proofErr w:type="spellStart"/>
      <w:r w:rsidRPr="00886AA5">
        <w:rPr>
          <w:rFonts w:ascii="Arial" w:hAnsi="Arial"/>
          <w:lang w:eastAsia="zh-CN"/>
        </w:rPr>
        <w:t>ToR</w:t>
      </w:r>
      <w:proofErr w:type="spellEnd"/>
      <w:r w:rsidRPr="00886AA5">
        <w:rPr>
          <w:rFonts w:ascii="Arial" w:hAnsi="Arial"/>
          <w:lang w:eastAsia="zh-CN"/>
        </w:rPr>
        <w:t xml:space="preserve"> of RAN2 [2], </w:t>
      </w:r>
      <w:proofErr w:type="gramStart"/>
      <w:r w:rsidRPr="00886AA5">
        <w:rPr>
          <w:rFonts w:ascii="Arial" w:hAnsi="Arial"/>
          <w:lang w:eastAsia="zh-CN"/>
        </w:rPr>
        <w:t>it is clear that RAN2</w:t>
      </w:r>
      <w:proofErr w:type="gramEnd"/>
      <w:r w:rsidRPr="00886AA5">
        <w:rPr>
          <w:rFonts w:ascii="Arial" w:hAnsi="Arial"/>
          <w:lang w:eastAsia="zh-CN"/>
        </w:rPr>
        <w:t xml:space="preserve"> is the WG who is responsible for “radio interface protocols between UE and RAN”. We therefore assume that when the WI starts, RAN2 can determine how to best specify signalling between the gNB and the UE (or gNB and the NCR-MT in this case). For example, the decision whether something should be signalled over </w:t>
      </w:r>
      <w:proofErr w:type="gramStart"/>
      <w:r w:rsidRPr="00886AA5">
        <w:rPr>
          <w:rFonts w:ascii="Arial" w:hAnsi="Arial"/>
          <w:lang w:eastAsia="zh-CN"/>
        </w:rPr>
        <w:t>RRC</w:t>
      </w:r>
      <w:proofErr w:type="gramEnd"/>
      <w:r w:rsidRPr="00886AA5">
        <w:rPr>
          <w:rFonts w:ascii="Arial" w:hAnsi="Arial"/>
          <w:lang w:eastAsia="zh-CN"/>
        </w:rPr>
        <w:t xml:space="preserve"> or MAC is a decision for RAN2 including how such signalling should look like.</w:t>
      </w:r>
    </w:p>
    <w:p w14:paraId="11757D03" w14:textId="635F3C0D" w:rsidR="00886AA5" w:rsidRPr="00886AA5" w:rsidRDefault="00886AA5" w:rsidP="00886AA5">
      <w:pPr>
        <w:rPr>
          <w:rFonts w:ascii="Arial" w:hAnsi="Arial"/>
          <w:lang w:eastAsia="zh-CN"/>
        </w:rPr>
      </w:pPr>
      <w:r>
        <w:rPr>
          <w:rFonts w:ascii="Arial" w:hAnsi="Arial"/>
          <w:lang w:eastAsia="zh-CN"/>
        </w:rPr>
        <w:t>It should be noted though that RAN1 are of course responsible for L1-signalling.</w:t>
      </w:r>
    </w:p>
    <w:p w14:paraId="53A59CB0" w14:textId="7060319B" w:rsidR="00886AA5" w:rsidRDefault="00886AA5" w:rsidP="00886AA5">
      <w:pPr>
        <w:pStyle w:val="Proposal"/>
      </w:pPr>
      <w:bookmarkStart w:id="3" w:name="_Toc110983131"/>
      <w:r>
        <w:t xml:space="preserve">RAN2 </w:t>
      </w:r>
      <w:r w:rsidR="00473A6F">
        <w:t xml:space="preserve">shall be the WG </w:t>
      </w:r>
      <w:r>
        <w:t xml:space="preserve">responsible for </w:t>
      </w:r>
      <w:proofErr w:type="gramStart"/>
      <w:r>
        <w:t>specify</w:t>
      </w:r>
      <w:proofErr w:type="gramEnd"/>
      <w:r>
        <w:t xml:space="preserve"> the protocols between the gNB and the </w:t>
      </w:r>
      <w:r w:rsidR="00473A6F">
        <w:t>NCR-MT</w:t>
      </w:r>
      <w:r w:rsidRPr="00D477B4">
        <w:t>.</w:t>
      </w:r>
      <w:bookmarkEnd w:id="3"/>
    </w:p>
    <w:p w14:paraId="7A727DC2" w14:textId="1DA07472" w:rsidR="00886AA5" w:rsidRDefault="00886AA5" w:rsidP="00886AA5">
      <w:pPr>
        <w:rPr>
          <w:rFonts w:ascii="Arial" w:hAnsi="Arial"/>
          <w:lang w:eastAsia="zh-CN"/>
        </w:rPr>
      </w:pPr>
    </w:p>
    <w:p w14:paraId="1A21B125" w14:textId="2F9FF1C3" w:rsidR="00886AA5" w:rsidRDefault="00886AA5" w:rsidP="00886AA5">
      <w:pPr>
        <w:rPr>
          <w:rFonts w:ascii="Arial" w:hAnsi="Arial"/>
          <w:lang w:eastAsia="zh-CN"/>
        </w:rPr>
      </w:pPr>
      <w:r w:rsidRPr="00886AA5">
        <w:rPr>
          <w:rFonts w:ascii="Arial" w:hAnsi="Arial"/>
          <w:lang w:eastAsia="zh-CN"/>
        </w:rPr>
        <w:t>We believe that it would be useful to indicate to RAN1 (cc RAN plenary) along the lines of Proposal 2.</w:t>
      </w:r>
    </w:p>
    <w:p w14:paraId="100190C5" w14:textId="7DC4E0BF" w:rsidR="00886AA5" w:rsidRPr="00A7230C" w:rsidRDefault="00886AA5" w:rsidP="00886AA5">
      <w:pPr>
        <w:pStyle w:val="Proposal"/>
      </w:pPr>
      <w:bookmarkStart w:id="4" w:name="_Toc110983132"/>
      <w:r w:rsidRPr="00886AA5">
        <w:t xml:space="preserve">Send an LS to RAN1 (cc RAN plenary) to indicate that RAN2 assumes that according to the </w:t>
      </w:r>
      <w:proofErr w:type="spellStart"/>
      <w:r w:rsidRPr="00886AA5">
        <w:t>ToR</w:t>
      </w:r>
      <w:proofErr w:type="spellEnd"/>
      <w:r w:rsidRPr="00886AA5">
        <w:t xml:space="preserve">, RAN2 is responsible for specifying the protocols between the </w:t>
      </w:r>
      <w:proofErr w:type="spellStart"/>
      <w:r w:rsidRPr="00886AA5">
        <w:t>gNB</w:t>
      </w:r>
      <w:proofErr w:type="spellEnd"/>
      <w:r w:rsidRPr="00886AA5">
        <w:t xml:space="preserve"> and the NCR-MT</w:t>
      </w:r>
      <w:r w:rsidR="00E61F2E">
        <w:t>.</w:t>
      </w:r>
      <w:bookmarkEnd w:id="4"/>
    </w:p>
    <w:p w14:paraId="20D74898" w14:textId="45E46CC2" w:rsidR="00C01F33" w:rsidRPr="00CE0424" w:rsidRDefault="001465AE"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6946D3" w14:textId="77777777" w:rsidR="00E61F2E"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83130" w:history="1">
        <w:r w:rsidR="00E61F2E" w:rsidRPr="000C68B6">
          <w:rPr>
            <w:rStyle w:val="Hyperlink"/>
            <w:noProof/>
          </w:rPr>
          <w:t>Proposal 1</w:t>
        </w:r>
        <w:r w:rsidR="00E61F2E">
          <w:rPr>
            <w:rFonts w:asciiTheme="minorHAnsi" w:eastAsiaTheme="minorEastAsia" w:hAnsiTheme="minorHAnsi" w:cstheme="minorBidi"/>
            <w:b w:val="0"/>
            <w:noProof/>
            <w:sz w:val="24"/>
            <w:szCs w:val="24"/>
            <w:lang w:val="en-FI" w:eastAsia="en-GB"/>
          </w:rPr>
          <w:tab/>
        </w:r>
        <w:r w:rsidR="00E61F2E" w:rsidRPr="000C68B6">
          <w:rPr>
            <w:rStyle w:val="Hyperlink"/>
            <w:noProof/>
          </w:rPr>
          <w:t>RAN2 assumes that legacy RAN3 solutions will be used for identification and authorization for NCRs.</w:t>
        </w:r>
      </w:hyperlink>
    </w:p>
    <w:p w14:paraId="12CEF1BC" w14:textId="77777777" w:rsidR="00E61F2E" w:rsidRDefault="00E61F2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83131" w:history="1">
        <w:r w:rsidRPr="000C68B6">
          <w:rPr>
            <w:rStyle w:val="Hyperlink"/>
            <w:noProof/>
          </w:rPr>
          <w:t>Proposal 2</w:t>
        </w:r>
        <w:r>
          <w:rPr>
            <w:rFonts w:asciiTheme="minorHAnsi" w:eastAsiaTheme="minorEastAsia" w:hAnsiTheme="minorHAnsi" w:cstheme="minorBidi"/>
            <w:b w:val="0"/>
            <w:noProof/>
            <w:sz w:val="24"/>
            <w:szCs w:val="24"/>
            <w:lang w:val="en-FI" w:eastAsia="en-GB"/>
          </w:rPr>
          <w:tab/>
        </w:r>
        <w:r w:rsidRPr="000C68B6">
          <w:rPr>
            <w:rStyle w:val="Hyperlink"/>
            <w:noProof/>
          </w:rPr>
          <w:t>RAN2 shall be the WG responsible for specify the protocols between the gNB and the NCR-MT.</w:t>
        </w:r>
      </w:hyperlink>
    </w:p>
    <w:p w14:paraId="281C6E0C" w14:textId="77777777" w:rsidR="00E61F2E" w:rsidRDefault="00E61F2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83132" w:history="1">
        <w:r w:rsidRPr="000C68B6">
          <w:rPr>
            <w:rStyle w:val="Hyperlink"/>
            <w:noProof/>
          </w:rPr>
          <w:t>Proposal 3</w:t>
        </w:r>
        <w:r>
          <w:rPr>
            <w:rFonts w:asciiTheme="minorHAnsi" w:eastAsiaTheme="minorEastAsia" w:hAnsiTheme="minorHAnsi" w:cstheme="minorBidi"/>
            <w:b w:val="0"/>
            <w:noProof/>
            <w:sz w:val="24"/>
            <w:szCs w:val="24"/>
            <w:lang w:val="en-FI" w:eastAsia="en-GB"/>
          </w:rPr>
          <w:tab/>
        </w:r>
        <w:r w:rsidRPr="000C68B6">
          <w:rPr>
            <w:rStyle w:val="Hyperlink"/>
            <w:noProof/>
          </w:rPr>
          <w:t>Send an LS to RAN1 (cc RAN plenary) to indicate that RAN2 assumes that according to the ToR, RAN2 is responsible for specifying the protocols between the gNB and the NCR-MT.</w:t>
        </w:r>
      </w:hyperlink>
    </w:p>
    <w:p w14:paraId="64F3E645" w14:textId="65B69767" w:rsidR="00C01F33" w:rsidRPr="00CE0424" w:rsidRDefault="006E1C82" w:rsidP="00A7230C">
      <w:pPr>
        <w:pStyle w:val="BodyText"/>
      </w:pPr>
      <w:r>
        <w:rPr>
          <w:b/>
          <w:bCs/>
          <w:lang w:val="en-US"/>
        </w:rPr>
        <w:fldChar w:fldCharType="end"/>
      </w:r>
      <w:bookmarkStart w:id="5" w:name="_In-sequence_SDU_delivery"/>
      <w:bookmarkEnd w:id="5"/>
    </w:p>
    <w:p w14:paraId="7BD5CFC3" w14:textId="49F7C287" w:rsidR="00F507D1" w:rsidRPr="00CE0424" w:rsidRDefault="001465AE" w:rsidP="00CE0424">
      <w:pPr>
        <w:pStyle w:val="Heading1"/>
      </w:pPr>
      <w:r>
        <w:lastRenderedPageBreak/>
        <w:t>4</w:t>
      </w:r>
      <w:r>
        <w:tab/>
      </w:r>
      <w:r w:rsidR="00F507D1" w:rsidRPr="00CE0424">
        <w:t>References</w:t>
      </w:r>
    </w:p>
    <w:bookmarkStart w:id="6" w:name="_Ref390333486"/>
    <w:bookmarkStart w:id="7" w:name="_Ref174151459"/>
    <w:bookmarkStart w:id="8" w:name="_Ref189809556"/>
    <w:p w14:paraId="04A5A6F9" w14:textId="4A605B17" w:rsidR="00886AA5" w:rsidRDefault="00E61F2E" w:rsidP="00886AA5">
      <w:pPr>
        <w:pStyle w:val="Reference"/>
      </w:pPr>
      <w:r>
        <w:fldChar w:fldCharType="begin"/>
      </w:r>
      <w:r>
        <w:instrText xml:space="preserve"> HYPERLINK "http://www.3gpp.org/ftp//tsg_ran/TSG_RAN/TSGR_96/Docs/</w:instrText>
      </w:r>
      <w:r>
        <w:cr/>
        <w:instrText xml:space="preserve">RP-221229.zip" </w:instrText>
      </w:r>
      <w:r>
        <w:fldChar w:fldCharType="separate"/>
      </w:r>
      <w:r w:rsidR="00886AA5" w:rsidRPr="00E61F2E">
        <w:rPr>
          <w:rStyle w:val="Hyperlink"/>
        </w:rPr>
        <w:t>RP-221229</w:t>
      </w:r>
      <w:r>
        <w:fldChar w:fldCharType="end"/>
      </w:r>
      <w:r>
        <w:t>,</w:t>
      </w:r>
      <w:r w:rsidR="00886AA5">
        <w:tab/>
        <w:t>Revised SI: Study on NR Network-Controlled Repeaters, ZTE Corporation.</w:t>
      </w:r>
      <w:bookmarkEnd w:id="6"/>
    </w:p>
    <w:bookmarkStart w:id="9" w:name="_Ref110967504"/>
    <w:p w14:paraId="5DCC939F" w14:textId="6D818634" w:rsidR="003A7EF3" w:rsidRPr="00CE0424" w:rsidRDefault="00E61F2E" w:rsidP="00CE0424">
      <w:pPr>
        <w:pStyle w:val="Reference"/>
      </w:pPr>
      <w:r>
        <w:fldChar w:fldCharType="begin"/>
      </w:r>
      <w:r>
        <w:instrText xml:space="preserve"> HYPERLINK "http://www.3gpp.org/ftp//tsg_ran/TSG_RAN/TSGR_91e/Docs/</w:instrText>
      </w:r>
      <w:r>
        <w:cr/>
        <w:instrText xml:space="preserve">RP-210785.zip" </w:instrText>
      </w:r>
      <w:r>
        <w:fldChar w:fldCharType="separate"/>
      </w:r>
      <w:r w:rsidR="00886AA5" w:rsidRPr="00E61F2E">
        <w:rPr>
          <w:rStyle w:val="Hyperlink"/>
        </w:rPr>
        <w:t>RP-210785</w:t>
      </w:r>
      <w:r>
        <w:fldChar w:fldCharType="end"/>
      </w:r>
      <w:r>
        <w:t>,</w:t>
      </w:r>
      <w:r w:rsidR="00886AA5" w:rsidRPr="00886AA5">
        <w:t xml:space="preserve"> Terms of Reference (</w:t>
      </w:r>
      <w:proofErr w:type="spellStart"/>
      <w:r w:rsidR="00886AA5" w:rsidRPr="00886AA5">
        <w:t>ToR</w:t>
      </w:r>
      <w:proofErr w:type="spellEnd"/>
      <w:r w:rsidR="00886AA5" w:rsidRPr="00886AA5">
        <w:t>) for 3GPP TSG RAN WG2 (RAN2)</w:t>
      </w:r>
      <w:bookmarkEnd w:id="7"/>
      <w:bookmarkEnd w:id="8"/>
      <w:bookmarkEnd w:id="9"/>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33D6" w14:textId="77777777" w:rsidR="003D57EF" w:rsidRDefault="003D57EF">
      <w:r>
        <w:separator/>
      </w:r>
    </w:p>
  </w:endnote>
  <w:endnote w:type="continuationSeparator" w:id="0">
    <w:p w14:paraId="3B00EB13" w14:textId="77777777" w:rsidR="003D57EF" w:rsidRDefault="003D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07893" w14:textId="77777777" w:rsidR="003D57EF" w:rsidRDefault="003D57EF">
      <w:r>
        <w:separator/>
      </w:r>
    </w:p>
  </w:footnote>
  <w:footnote w:type="continuationSeparator" w:id="0">
    <w:p w14:paraId="18FB4808" w14:textId="77777777" w:rsidR="003D57EF" w:rsidRDefault="003D57EF">
      <w:r>
        <w:continuationSeparator/>
      </w:r>
    </w:p>
  </w:footnote>
  <w:footnote w:id="1">
    <w:p w14:paraId="1DB12898" w14:textId="227026BE" w:rsidR="00886AA5" w:rsidRDefault="00886AA5" w:rsidP="00886AA5">
      <w:pPr>
        <w:pStyle w:val="FootnoteText"/>
      </w:pPr>
      <w:r>
        <w:rPr>
          <w:rStyle w:val="FootnoteReference"/>
        </w:rPr>
        <w:footnoteRef/>
      </w:r>
      <w:r>
        <w:t xml:space="preserve"> </w:t>
      </w:r>
      <w:r>
        <w:tab/>
      </w:r>
      <w:r w:rsidRPr="00886AA5">
        <w:rPr>
          <w:rFonts w:ascii="Arial" w:hAnsi="Arial" w:cs="Arial"/>
        </w:rPr>
        <w:t xml:space="preserve">Notice that RAN1 has been discussing OAM, transcending their </w:t>
      </w:r>
      <w:proofErr w:type="spellStart"/>
      <w:r w:rsidRPr="00886AA5">
        <w:rPr>
          <w:rFonts w:ascii="Arial" w:hAnsi="Arial" w:cs="Arial"/>
        </w:rPr>
        <w:t>ToR</w:t>
      </w:r>
      <w:proofErr w:type="spellEnd"/>
      <w:r w:rsidRPr="00886AA5">
        <w:rPr>
          <w:rFonts w:ascii="Arial" w:hAnsi="Arial" w:cs="Arial"/>
        </w:rPr>
        <w:t>, in a continuing trend from other topics in recent releases. We believe this is not consistent with proper 3GPP ways of working.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127E6"/>
    <w:multiLevelType w:val="hybridMultilevel"/>
    <w:tmpl w:val="C2ACC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727B2F"/>
    <w:multiLevelType w:val="hybridMultilevel"/>
    <w:tmpl w:val="037A9EB0"/>
    <w:lvl w:ilvl="0" w:tplc="6A50E352">
      <w:start w:val="1"/>
      <w:numFmt w:val="bullet"/>
      <w:lvlText w:val=""/>
      <w:lvlJc w:val="left"/>
      <w:pPr>
        <w:tabs>
          <w:tab w:val="num" w:pos="720"/>
        </w:tabs>
        <w:ind w:left="720" w:hanging="360"/>
      </w:pPr>
      <w:rPr>
        <w:rFonts w:ascii="Symbol" w:hAnsi="Symbol" w:hint="default"/>
      </w:rPr>
    </w:lvl>
    <w:lvl w:ilvl="1" w:tplc="5FA495A4" w:tentative="1">
      <w:start w:val="1"/>
      <w:numFmt w:val="bullet"/>
      <w:lvlText w:val=""/>
      <w:lvlJc w:val="left"/>
      <w:pPr>
        <w:tabs>
          <w:tab w:val="num" w:pos="1440"/>
        </w:tabs>
        <w:ind w:left="1440" w:hanging="360"/>
      </w:pPr>
      <w:rPr>
        <w:rFonts w:ascii="Symbol" w:hAnsi="Symbol" w:hint="default"/>
      </w:rPr>
    </w:lvl>
    <w:lvl w:ilvl="2" w:tplc="2A184014" w:tentative="1">
      <w:start w:val="1"/>
      <w:numFmt w:val="bullet"/>
      <w:lvlText w:val=""/>
      <w:lvlJc w:val="left"/>
      <w:pPr>
        <w:tabs>
          <w:tab w:val="num" w:pos="2160"/>
        </w:tabs>
        <w:ind w:left="2160" w:hanging="360"/>
      </w:pPr>
      <w:rPr>
        <w:rFonts w:ascii="Symbol" w:hAnsi="Symbol" w:hint="default"/>
      </w:rPr>
    </w:lvl>
    <w:lvl w:ilvl="3" w:tplc="B07E539A" w:tentative="1">
      <w:start w:val="1"/>
      <w:numFmt w:val="bullet"/>
      <w:lvlText w:val=""/>
      <w:lvlJc w:val="left"/>
      <w:pPr>
        <w:tabs>
          <w:tab w:val="num" w:pos="2880"/>
        </w:tabs>
        <w:ind w:left="2880" w:hanging="360"/>
      </w:pPr>
      <w:rPr>
        <w:rFonts w:ascii="Symbol" w:hAnsi="Symbol" w:hint="default"/>
      </w:rPr>
    </w:lvl>
    <w:lvl w:ilvl="4" w:tplc="93B4D0D6" w:tentative="1">
      <w:start w:val="1"/>
      <w:numFmt w:val="bullet"/>
      <w:lvlText w:val=""/>
      <w:lvlJc w:val="left"/>
      <w:pPr>
        <w:tabs>
          <w:tab w:val="num" w:pos="3600"/>
        </w:tabs>
        <w:ind w:left="3600" w:hanging="360"/>
      </w:pPr>
      <w:rPr>
        <w:rFonts w:ascii="Symbol" w:hAnsi="Symbol" w:hint="default"/>
      </w:rPr>
    </w:lvl>
    <w:lvl w:ilvl="5" w:tplc="4404DF54" w:tentative="1">
      <w:start w:val="1"/>
      <w:numFmt w:val="bullet"/>
      <w:lvlText w:val=""/>
      <w:lvlJc w:val="left"/>
      <w:pPr>
        <w:tabs>
          <w:tab w:val="num" w:pos="4320"/>
        </w:tabs>
        <w:ind w:left="4320" w:hanging="360"/>
      </w:pPr>
      <w:rPr>
        <w:rFonts w:ascii="Symbol" w:hAnsi="Symbol" w:hint="default"/>
      </w:rPr>
    </w:lvl>
    <w:lvl w:ilvl="6" w:tplc="591AAA50" w:tentative="1">
      <w:start w:val="1"/>
      <w:numFmt w:val="bullet"/>
      <w:lvlText w:val=""/>
      <w:lvlJc w:val="left"/>
      <w:pPr>
        <w:tabs>
          <w:tab w:val="num" w:pos="5040"/>
        </w:tabs>
        <w:ind w:left="5040" w:hanging="360"/>
      </w:pPr>
      <w:rPr>
        <w:rFonts w:ascii="Symbol" w:hAnsi="Symbol" w:hint="default"/>
      </w:rPr>
    </w:lvl>
    <w:lvl w:ilvl="7" w:tplc="5E8482AE" w:tentative="1">
      <w:start w:val="1"/>
      <w:numFmt w:val="bullet"/>
      <w:lvlText w:val=""/>
      <w:lvlJc w:val="left"/>
      <w:pPr>
        <w:tabs>
          <w:tab w:val="num" w:pos="5760"/>
        </w:tabs>
        <w:ind w:left="5760" w:hanging="360"/>
      </w:pPr>
      <w:rPr>
        <w:rFonts w:ascii="Symbol" w:hAnsi="Symbol" w:hint="default"/>
      </w:rPr>
    </w:lvl>
    <w:lvl w:ilvl="8" w:tplc="D4CE7AB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BF0E9D"/>
    <w:multiLevelType w:val="multilevel"/>
    <w:tmpl w:val="7CBF0E9D"/>
    <w:lvl w:ilvl="0">
      <w:numFmt w:val="bullet"/>
      <w:lvlText w:val="-"/>
      <w:lvlJc w:val="left"/>
      <w:pPr>
        <w:ind w:left="860" w:hanging="420"/>
      </w:pPr>
      <w:rPr>
        <w:rFonts w:ascii="Times New Roman" w:eastAsia="Times New Roman" w:hAnsi="Times New Roman"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num w:numId="1" w16cid:durableId="1734502825">
    <w:abstractNumId w:val="3"/>
  </w:num>
  <w:num w:numId="2" w16cid:durableId="511771863">
    <w:abstractNumId w:val="17"/>
  </w:num>
  <w:num w:numId="3" w16cid:durableId="1862935967">
    <w:abstractNumId w:val="13"/>
  </w:num>
  <w:num w:numId="4" w16cid:durableId="2075348413">
    <w:abstractNumId w:val="14"/>
  </w:num>
  <w:num w:numId="5" w16cid:durableId="1824855462">
    <w:abstractNumId w:val="10"/>
  </w:num>
  <w:num w:numId="6" w16cid:durableId="1085032288">
    <w:abstractNumId w:val="16"/>
  </w:num>
  <w:num w:numId="7" w16cid:durableId="626276583">
    <w:abstractNumId w:val="21"/>
  </w:num>
  <w:num w:numId="8" w16cid:durableId="1074545561">
    <w:abstractNumId w:val="11"/>
  </w:num>
  <w:num w:numId="9" w16cid:durableId="2078550910">
    <w:abstractNumId w:val="9"/>
  </w:num>
  <w:num w:numId="10" w16cid:durableId="1107236588">
    <w:abstractNumId w:val="2"/>
  </w:num>
  <w:num w:numId="11" w16cid:durableId="496460756">
    <w:abstractNumId w:val="1"/>
  </w:num>
  <w:num w:numId="12" w16cid:durableId="549808807">
    <w:abstractNumId w:val="0"/>
  </w:num>
  <w:num w:numId="13" w16cid:durableId="1128470171">
    <w:abstractNumId w:val="19"/>
  </w:num>
  <w:num w:numId="14" w16cid:durableId="449781787">
    <w:abstractNumId w:val="20"/>
  </w:num>
  <w:num w:numId="15" w16cid:durableId="1866669160">
    <w:abstractNumId w:val="15"/>
  </w:num>
  <w:num w:numId="16" w16cid:durableId="1765759688">
    <w:abstractNumId w:val="22"/>
  </w:num>
  <w:num w:numId="17" w16cid:durableId="1512256685">
    <w:abstractNumId w:val="6"/>
  </w:num>
  <w:num w:numId="18" w16cid:durableId="620261616">
    <w:abstractNumId w:val="8"/>
  </w:num>
  <w:num w:numId="19" w16cid:durableId="730467528">
    <w:abstractNumId w:val="4"/>
  </w:num>
  <w:num w:numId="20" w16cid:durableId="476458447">
    <w:abstractNumId w:val="24"/>
  </w:num>
  <w:num w:numId="21" w16cid:durableId="107282512">
    <w:abstractNumId w:val="12"/>
  </w:num>
  <w:num w:numId="22" w16cid:durableId="486090488">
    <w:abstractNumId w:val="23"/>
  </w:num>
  <w:num w:numId="23" w16cid:durableId="1580825537">
    <w:abstractNumId w:val="5"/>
  </w:num>
  <w:num w:numId="24" w16cid:durableId="458114289">
    <w:abstractNumId w:val="7"/>
  </w:num>
  <w:num w:numId="25" w16cid:durableId="1884051630">
    <w:abstractNumId w:val="25"/>
  </w:num>
  <w:num w:numId="26" w16cid:durableId="20408126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5AE"/>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7EF"/>
    <w:rsid w:val="003D5B1F"/>
    <w:rsid w:val="003E15FA"/>
    <w:rsid w:val="003E295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3A6F"/>
    <w:rsid w:val="0047556B"/>
    <w:rsid w:val="00477768"/>
    <w:rsid w:val="00492BC5"/>
    <w:rsid w:val="004964F1"/>
    <w:rsid w:val="004A16BC"/>
    <w:rsid w:val="004A2B94"/>
    <w:rsid w:val="004A3108"/>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676B"/>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7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D43"/>
    <w:rsid w:val="00765281"/>
    <w:rsid w:val="00766BAD"/>
    <w:rsid w:val="007729A2"/>
    <w:rsid w:val="007755F2"/>
    <w:rsid w:val="00776971"/>
    <w:rsid w:val="00780A80"/>
    <w:rsid w:val="0078177E"/>
    <w:rsid w:val="0078304C"/>
    <w:rsid w:val="00783673"/>
    <w:rsid w:val="00785490"/>
    <w:rsid w:val="00787D0B"/>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66A"/>
    <w:rsid w:val="00886AA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30C"/>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F2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11</TotalTime>
  <Pages>3</Pages>
  <Words>881</Words>
  <Characters>4410</Characters>
  <Application>Microsoft Office Word</Application>
  <DocSecurity>0</DocSecurity>
  <Lines>80</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(Tony)</cp:lastModifiedBy>
  <cp:revision>9</cp:revision>
  <cp:lastPrinted>2008-01-31T07:09:00Z</cp:lastPrinted>
  <dcterms:created xsi:type="dcterms:W3CDTF">2022-08-09T15:34:00Z</dcterms:created>
  <dcterms:modified xsi:type="dcterms:W3CDTF">2022-08-09T21:18:00Z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